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270" w:rsidRPr="003B7270" w:rsidRDefault="003B7270" w:rsidP="003B7270">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3B7270">
        <w:rPr>
          <w:rFonts w:ascii="Times New Roman" w:eastAsia="Times New Roman" w:hAnsi="Times New Roman" w:cs="Times New Roman"/>
          <w:b/>
          <w:bCs/>
          <w:kern w:val="36"/>
          <w:sz w:val="48"/>
          <w:szCs w:val="48"/>
        </w:rPr>
        <w:t>Preaward</w:t>
      </w:r>
      <w:proofErr w:type="spellEnd"/>
      <w:r w:rsidRPr="003B7270">
        <w:rPr>
          <w:rFonts w:ascii="Times New Roman" w:eastAsia="Times New Roman" w:hAnsi="Times New Roman" w:cs="Times New Roman"/>
          <w:b/>
          <w:bCs/>
          <w:kern w:val="36"/>
          <w:sz w:val="48"/>
          <w:szCs w:val="48"/>
        </w:rPr>
        <w:t xml:space="preserve"> </w:t>
      </w:r>
      <w:proofErr w:type="spellStart"/>
      <w:r w:rsidRPr="003B7270">
        <w:rPr>
          <w:rFonts w:ascii="Times New Roman" w:eastAsia="Times New Roman" w:hAnsi="Times New Roman" w:cs="Times New Roman"/>
          <w:b/>
          <w:bCs/>
          <w:kern w:val="36"/>
          <w:sz w:val="48"/>
          <w:szCs w:val="48"/>
        </w:rPr>
        <w:t>Subawards</w:t>
      </w:r>
      <w:proofErr w:type="spellEnd"/>
    </w:p>
    <w:p w:rsidR="003B7270" w:rsidRPr="003B7270" w:rsidRDefault="003B7270" w:rsidP="003B7270">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start"/>
      <w:bookmarkEnd w:id="0"/>
      <w:proofErr w:type="spellStart"/>
      <w:r w:rsidRPr="003B7270">
        <w:rPr>
          <w:rFonts w:ascii="Times New Roman" w:eastAsia="Times New Roman" w:hAnsi="Times New Roman" w:cs="Times New Roman"/>
          <w:b/>
          <w:bCs/>
          <w:sz w:val="27"/>
          <w:szCs w:val="27"/>
        </w:rPr>
        <w:t>PreAward</w:t>
      </w:r>
      <w:proofErr w:type="spellEnd"/>
      <w:r w:rsidRPr="003B7270">
        <w:rPr>
          <w:rFonts w:ascii="Times New Roman" w:eastAsia="Times New Roman" w:hAnsi="Times New Roman" w:cs="Times New Roman"/>
          <w:b/>
          <w:bCs/>
          <w:sz w:val="27"/>
          <w:szCs w:val="27"/>
        </w:rPr>
        <w:t xml:space="preserve"> Stage</w:t>
      </w:r>
    </w:p>
    <w:p w:rsidR="003B7270" w:rsidRPr="003B7270" w:rsidRDefault="003B7270" w:rsidP="003B7270">
      <w:pPr>
        <w:spacing w:before="100" w:beforeAutospacing="1" w:after="100" w:afterAutospacing="1" w:line="240" w:lineRule="auto"/>
        <w:rPr>
          <w:rFonts w:ascii="Times New Roman" w:eastAsia="Times New Roman" w:hAnsi="Times New Roman" w:cs="Times New Roman"/>
          <w:sz w:val="24"/>
          <w:szCs w:val="24"/>
        </w:rPr>
      </w:pPr>
      <w:r w:rsidRPr="003B7270">
        <w:rPr>
          <w:rFonts w:ascii="Times New Roman" w:eastAsia="Times New Roman" w:hAnsi="Times New Roman" w:cs="Times New Roman"/>
          <w:sz w:val="24"/>
          <w:szCs w:val="24"/>
        </w:rPr>
        <w:t>By making a proper determination in the proposal stage, the appropriate relationship can be established from the start. Sponsor approval is required prior to entering into a subcontract. If it is a vendor relationship, no sponsor approval is required unless specified in the award terms and conditions.</w:t>
      </w:r>
    </w:p>
    <w:p w:rsidR="003B7270" w:rsidRPr="003B7270" w:rsidRDefault="003B7270" w:rsidP="003B7270">
      <w:pPr>
        <w:spacing w:before="100" w:beforeAutospacing="1" w:after="100" w:afterAutospacing="1" w:line="240" w:lineRule="auto"/>
        <w:outlineLvl w:val="2"/>
        <w:rPr>
          <w:rFonts w:ascii="Times New Roman" w:eastAsia="Times New Roman" w:hAnsi="Times New Roman" w:cs="Times New Roman"/>
          <w:b/>
          <w:bCs/>
          <w:sz w:val="27"/>
          <w:szCs w:val="27"/>
        </w:rPr>
      </w:pPr>
      <w:r w:rsidRPr="003B7270">
        <w:rPr>
          <w:rFonts w:ascii="Times New Roman" w:eastAsia="Times New Roman" w:hAnsi="Times New Roman" w:cs="Times New Roman"/>
          <w:b/>
          <w:bCs/>
          <w:sz w:val="27"/>
          <w:szCs w:val="27"/>
        </w:rPr>
        <w:t xml:space="preserve">What is a </w:t>
      </w:r>
      <w:proofErr w:type="spellStart"/>
      <w:r w:rsidRPr="003B7270">
        <w:rPr>
          <w:rFonts w:ascii="Times New Roman" w:eastAsia="Times New Roman" w:hAnsi="Times New Roman" w:cs="Times New Roman"/>
          <w:b/>
          <w:bCs/>
          <w:sz w:val="27"/>
          <w:szCs w:val="27"/>
        </w:rPr>
        <w:t>Subagreement</w:t>
      </w:r>
      <w:proofErr w:type="spellEnd"/>
      <w:r w:rsidRPr="003B7270">
        <w:rPr>
          <w:rFonts w:ascii="Times New Roman" w:eastAsia="Times New Roman" w:hAnsi="Times New Roman" w:cs="Times New Roman"/>
          <w:b/>
          <w:bCs/>
          <w:sz w:val="27"/>
          <w:szCs w:val="27"/>
        </w:rPr>
        <w:t>?</w:t>
      </w:r>
    </w:p>
    <w:p w:rsidR="003B7270" w:rsidRPr="003B7270" w:rsidRDefault="003B7270" w:rsidP="003B7270">
      <w:pPr>
        <w:spacing w:before="100" w:beforeAutospacing="1" w:after="100" w:afterAutospacing="1" w:line="240" w:lineRule="auto"/>
        <w:rPr>
          <w:rFonts w:ascii="Times New Roman" w:eastAsia="Times New Roman" w:hAnsi="Times New Roman" w:cs="Times New Roman"/>
          <w:sz w:val="24"/>
          <w:szCs w:val="24"/>
        </w:rPr>
      </w:pPr>
      <w:r w:rsidRPr="003B7270">
        <w:rPr>
          <w:rFonts w:ascii="Times New Roman" w:eastAsia="Times New Roman" w:hAnsi="Times New Roman" w:cs="Times New Roman"/>
          <w:sz w:val="24"/>
          <w:szCs w:val="24"/>
        </w:rPr>
        <w:t xml:space="preserve">According to the OMB Circular A-110, a </w:t>
      </w:r>
      <w:proofErr w:type="spellStart"/>
      <w:r w:rsidRPr="003B7270">
        <w:rPr>
          <w:rFonts w:ascii="Times New Roman" w:eastAsia="Times New Roman" w:hAnsi="Times New Roman" w:cs="Times New Roman"/>
          <w:sz w:val="24"/>
          <w:szCs w:val="24"/>
        </w:rPr>
        <w:t>Subaward</w:t>
      </w:r>
      <w:proofErr w:type="spellEnd"/>
      <w:r w:rsidRPr="003B7270">
        <w:rPr>
          <w:rFonts w:ascii="Times New Roman" w:eastAsia="Times New Roman" w:hAnsi="Times New Roman" w:cs="Times New Roman"/>
          <w:sz w:val="24"/>
          <w:szCs w:val="24"/>
        </w:rPr>
        <w:t xml:space="preserve"> is defined as “an award of financial assistance in the form of money, or property in lieu of money, made under an award by a recipient to an eligible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or by a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to a lower tier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A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means the legal entity to which a </w:t>
      </w:r>
      <w:proofErr w:type="spellStart"/>
      <w:r w:rsidRPr="003B7270">
        <w:rPr>
          <w:rFonts w:ascii="Times New Roman" w:eastAsia="Times New Roman" w:hAnsi="Times New Roman" w:cs="Times New Roman"/>
          <w:sz w:val="24"/>
          <w:szCs w:val="24"/>
        </w:rPr>
        <w:t>subaward</w:t>
      </w:r>
      <w:proofErr w:type="spellEnd"/>
      <w:r w:rsidRPr="003B7270">
        <w:rPr>
          <w:rFonts w:ascii="Times New Roman" w:eastAsia="Times New Roman" w:hAnsi="Times New Roman" w:cs="Times New Roman"/>
          <w:sz w:val="24"/>
          <w:szCs w:val="24"/>
        </w:rPr>
        <w:t xml:space="preserve"> is made and which is accountable to the recipient for the use of the funds provided.</w:t>
      </w:r>
    </w:p>
    <w:p w:rsidR="003B7270" w:rsidRPr="003B7270" w:rsidRDefault="003B7270" w:rsidP="003B727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3B7270">
        <w:rPr>
          <w:rFonts w:ascii="Times New Roman" w:eastAsia="Times New Roman" w:hAnsi="Times New Roman" w:cs="Times New Roman"/>
          <w:b/>
          <w:bCs/>
          <w:sz w:val="27"/>
          <w:szCs w:val="27"/>
        </w:rPr>
        <w:t>Subrecipients</w:t>
      </w:r>
      <w:proofErr w:type="spellEnd"/>
      <w:r w:rsidRPr="003B7270">
        <w:rPr>
          <w:rFonts w:ascii="Times New Roman" w:eastAsia="Times New Roman" w:hAnsi="Times New Roman" w:cs="Times New Roman"/>
          <w:b/>
          <w:bCs/>
          <w:sz w:val="27"/>
          <w:szCs w:val="27"/>
        </w:rPr>
        <w:t xml:space="preserve"> vs. Vendors</w:t>
      </w:r>
    </w:p>
    <w:p w:rsidR="003B7270" w:rsidRPr="003B7270" w:rsidRDefault="003B7270" w:rsidP="003B7270">
      <w:pPr>
        <w:spacing w:before="100" w:beforeAutospacing="1" w:after="100" w:afterAutospacing="1" w:line="240" w:lineRule="auto"/>
        <w:rPr>
          <w:rFonts w:ascii="Times New Roman" w:eastAsia="Times New Roman" w:hAnsi="Times New Roman" w:cs="Times New Roman"/>
          <w:sz w:val="24"/>
          <w:szCs w:val="24"/>
        </w:rPr>
      </w:pPr>
      <w:r w:rsidRPr="003B7270">
        <w:rPr>
          <w:rFonts w:ascii="Times New Roman" w:eastAsia="Times New Roman" w:hAnsi="Times New Roman" w:cs="Times New Roman"/>
          <w:sz w:val="24"/>
          <w:szCs w:val="24"/>
        </w:rPr>
        <w:t xml:space="preserve">It is not always clear when the pass-through entity should award federal funds to a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or a procurement contract to a vendor. A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is a state or local government, college, university or nonprofit organization that expends federal awards received from a pass-through entity to carry out a federal program.</w:t>
      </w:r>
    </w:p>
    <w:p w:rsidR="003B7270" w:rsidRPr="003B7270" w:rsidRDefault="003B7270" w:rsidP="003B7270">
      <w:pPr>
        <w:spacing w:before="100" w:beforeAutospacing="1" w:after="100" w:afterAutospacing="1" w:line="240" w:lineRule="auto"/>
        <w:rPr>
          <w:rFonts w:ascii="Times New Roman" w:eastAsia="Times New Roman" w:hAnsi="Times New Roman" w:cs="Times New Roman"/>
          <w:sz w:val="24"/>
          <w:szCs w:val="24"/>
        </w:rPr>
      </w:pPr>
      <w:r w:rsidRPr="003B7270">
        <w:rPr>
          <w:rFonts w:ascii="Times New Roman" w:eastAsia="Times New Roman" w:hAnsi="Times New Roman" w:cs="Times New Roman"/>
          <w:sz w:val="24"/>
          <w:szCs w:val="24"/>
        </w:rPr>
        <w:t xml:space="preserve">Under a </w:t>
      </w:r>
      <w:proofErr w:type="spellStart"/>
      <w:r w:rsidRPr="003B7270">
        <w:rPr>
          <w:rFonts w:ascii="Times New Roman" w:eastAsia="Times New Roman" w:hAnsi="Times New Roman" w:cs="Times New Roman"/>
          <w:sz w:val="24"/>
          <w:szCs w:val="24"/>
        </w:rPr>
        <w:t>subaward</w:t>
      </w:r>
      <w:proofErr w:type="spellEnd"/>
      <w:r w:rsidRPr="003B7270">
        <w:rPr>
          <w:rFonts w:ascii="Times New Roman" w:eastAsia="Times New Roman" w:hAnsi="Times New Roman" w:cs="Times New Roman"/>
          <w:sz w:val="24"/>
          <w:szCs w:val="24"/>
        </w:rPr>
        <w:t xml:space="preserve">, a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generally has a specific scope of work to conduct in conjunction with the proposed research. The PI with the </w:t>
      </w:r>
      <w:proofErr w:type="spellStart"/>
      <w:r w:rsidRPr="003B7270">
        <w:rPr>
          <w:rFonts w:ascii="Times New Roman" w:eastAsia="Times New Roman" w:hAnsi="Times New Roman" w:cs="Times New Roman"/>
          <w:sz w:val="24"/>
          <w:szCs w:val="24"/>
        </w:rPr>
        <w:t>subaward</w:t>
      </w:r>
      <w:proofErr w:type="spellEnd"/>
      <w:r w:rsidRPr="003B7270">
        <w:rPr>
          <w:rFonts w:ascii="Times New Roman" w:eastAsia="Times New Roman" w:hAnsi="Times New Roman" w:cs="Times New Roman"/>
          <w:sz w:val="24"/>
          <w:szCs w:val="24"/>
        </w:rPr>
        <w:t xml:space="preserve"> is accountable for their course of study as well as for following federal guidelines.</w:t>
      </w:r>
    </w:p>
    <w:p w:rsidR="003B7270" w:rsidRPr="003B7270" w:rsidRDefault="003B7270" w:rsidP="003B7270">
      <w:pPr>
        <w:spacing w:before="100" w:beforeAutospacing="1" w:after="100" w:afterAutospacing="1" w:line="240" w:lineRule="auto"/>
        <w:rPr>
          <w:rFonts w:ascii="Times New Roman" w:eastAsia="Times New Roman" w:hAnsi="Times New Roman" w:cs="Times New Roman"/>
          <w:sz w:val="24"/>
          <w:szCs w:val="24"/>
        </w:rPr>
      </w:pPr>
      <w:r w:rsidRPr="003B7270">
        <w:rPr>
          <w:rFonts w:ascii="Times New Roman" w:eastAsia="Times New Roman" w:hAnsi="Times New Roman" w:cs="Times New Roman"/>
          <w:sz w:val="24"/>
          <w:szCs w:val="24"/>
        </w:rPr>
        <w:t>In contrast, a vendor is a dealer, distributor, merchant or other seller providing goods or services that are necessary for conducting a federal program. These goods or services may be for an organization’s own use or for the use of beneficiaries of the federal program.</w:t>
      </w:r>
    </w:p>
    <w:p w:rsidR="003B7270" w:rsidRPr="003B7270" w:rsidRDefault="003B7270" w:rsidP="003B7270">
      <w:pPr>
        <w:spacing w:before="100" w:beforeAutospacing="1" w:after="100" w:afterAutospacing="1" w:line="240" w:lineRule="auto"/>
        <w:rPr>
          <w:rFonts w:ascii="Times New Roman" w:eastAsia="Times New Roman" w:hAnsi="Times New Roman" w:cs="Times New Roman"/>
          <w:sz w:val="24"/>
          <w:szCs w:val="24"/>
        </w:rPr>
      </w:pPr>
      <w:r w:rsidRPr="003B7270">
        <w:rPr>
          <w:rFonts w:ascii="Times New Roman" w:eastAsia="Times New Roman" w:hAnsi="Times New Roman" w:cs="Times New Roman"/>
          <w:sz w:val="24"/>
          <w:szCs w:val="24"/>
        </w:rPr>
        <w:t>Under a procurement contract, a vendor provides goods or services that are auxiliary to the proposed research.</w:t>
      </w:r>
    </w:p>
    <w:p w:rsidR="003B7270" w:rsidRPr="003B7270" w:rsidRDefault="003B7270" w:rsidP="003B7270">
      <w:pPr>
        <w:spacing w:before="100" w:beforeAutospacing="1" w:after="100" w:afterAutospacing="1" w:line="240" w:lineRule="auto"/>
        <w:outlineLvl w:val="2"/>
        <w:rPr>
          <w:rFonts w:ascii="Times New Roman" w:eastAsia="Times New Roman" w:hAnsi="Times New Roman" w:cs="Times New Roman"/>
          <w:b/>
          <w:bCs/>
          <w:sz w:val="27"/>
          <w:szCs w:val="27"/>
        </w:rPr>
      </w:pPr>
      <w:r w:rsidRPr="003B7270">
        <w:rPr>
          <w:rFonts w:ascii="Times New Roman" w:eastAsia="Times New Roman" w:hAnsi="Times New Roman" w:cs="Times New Roman"/>
          <w:b/>
          <w:bCs/>
          <w:sz w:val="27"/>
          <w:szCs w:val="27"/>
        </w:rPr>
        <w:t>What constitutes a Consultant?</w:t>
      </w:r>
    </w:p>
    <w:p w:rsidR="003B7270" w:rsidRPr="003B7270" w:rsidRDefault="003B7270" w:rsidP="003B7270">
      <w:pPr>
        <w:spacing w:before="100" w:beforeAutospacing="1" w:after="100" w:afterAutospacing="1" w:line="240" w:lineRule="auto"/>
        <w:rPr>
          <w:rFonts w:ascii="Times New Roman" w:eastAsia="Times New Roman" w:hAnsi="Times New Roman" w:cs="Times New Roman"/>
          <w:sz w:val="24"/>
          <w:szCs w:val="24"/>
        </w:rPr>
      </w:pPr>
      <w:r w:rsidRPr="003B7270">
        <w:rPr>
          <w:rFonts w:ascii="Times New Roman" w:eastAsia="Times New Roman" w:hAnsi="Times New Roman" w:cs="Times New Roman"/>
          <w:sz w:val="24"/>
          <w:szCs w:val="24"/>
        </w:rPr>
        <w:t xml:space="preserve">Consultant Agreements are issued to either a company or to an individual who is clearly a bona fide consultant (expert advisor) who pursues this line of business for him/herself. The consultant is paid for his/her time at the fixed daily (or hourly) rate of compensation specified in an agreement. Consulting effort is usually limited to the term and the pay line is usually determined by a rate per day, which includes travel, expenses, and any other overhead. Consultants set their own hours, use their own equipment and materials, choose their work methods, and are responsible for paying taxes on their earnings as consultants. They will receive Tax Form 1099 </w:t>
      </w:r>
      <w:r w:rsidRPr="003B7270">
        <w:rPr>
          <w:rFonts w:ascii="Times New Roman" w:eastAsia="Times New Roman" w:hAnsi="Times New Roman" w:cs="Times New Roman"/>
          <w:sz w:val="24"/>
          <w:szCs w:val="24"/>
        </w:rPr>
        <w:lastRenderedPageBreak/>
        <w:t>from Georgia Tech, furthermore a consultant is considered “work for hire” and therefore all intellectual property and copyrightable information is assigned to GTRC.</w:t>
      </w:r>
    </w:p>
    <w:p w:rsidR="003B7270" w:rsidRPr="003B7270" w:rsidRDefault="003B7270" w:rsidP="003B7270">
      <w:pPr>
        <w:spacing w:before="100" w:beforeAutospacing="1" w:after="100" w:afterAutospacing="1" w:line="240" w:lineRule="auto"/>
        <w:rPr>
          <w:rFonts w:ascii="Times New Roman" w:eastAsia="Times New Roman" w:hAnsi="Times New Roman" w:cs="Times New Roman"/>
          <w:sz w:val="24"/>
          <w:szCs w:val="24"/>
        </w:rPr>
      </w:pPr>
      <w:r w:rsidRPr="003B7270">
        <w:rPr>
          <w:rFonts w:ascii="Times New Roman" w:eastAsia="Times New Roman" w:hAnsi="Times New Roman" w:cs="Times New Roman"/>
          <w:sz w:val="24"/>
          <w:szCs w:val="24"/>
        </w:rPr>
        <w:t>The primary difference is that a subcontract is almost invariably with another institution or with a company, and a consulting agreement is almost invariably with an individual (</w:t>
      </w:r>
      <w:proofErr w:type="spellStart"/>
      <w:r w:rsidRPr="003B7270">
        <w:rPr>
          <w:rFonts w:ascii="Times New Roman" w:eastAsia="Times New Roman" w:hAnsi="Times New Roman" w:cs="Times New Roman"/>
          <w:sz w:val="24"/>
          <w:szCs w:val="24"/>
        </w:rPr>
        <w:t>non Ga</w:t>
      </w:r>
      <w:proofErr w:type="spellEnd"/>
      <w:r w:rsidRPr="003B7270">
        <w:rPr>
          <w:rFonts w:ascii="Times New Roman" w:eastAsia="Times New Roman" w:hAnsi="Times New Roman" w:cs="Times New Roman"/>
          <w:sz w:val="24"/>
          <w:szCs w:val="24"/>
        </w:rPr>
        <w:t>-Tech employee).</w:t>
      </w:r>
    </w:p>
    <w:p w:rsidR="003B7270" w:rsidRPr="003B7270" w:rsidRDefault="003B7270" w:rsidP="003B727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3B7270">
        <w:rPr>
          <w:rFonts w:ascii="Times New Roman" w:eastAsia="Times New Roman" w:hAnsi="Times New Roman" w:cs="Times New Roman"/>
          <w:b/>
          <w:bCs/>
          <w:sz w:val="27"/>
          <w:szCs w:val="27"/>
        </w:rPr>
        <w:t>Subagreements</w:t>
      </w:r>
      <w:proofErr w:type="spellEnd"/>
      <w:r w:rsidRPr="003B7270">
        <w:rPr>
          <w:rFonts w:ascii="Times New Roman" w:eastAsia="Times New Roman" w:hAnsi="Times New Roman" w:cs="Times New Roman"/>
          <w:b/>
          <w:bCs/>
          <w:sz w:val="27"/>
          <w:szCs w:val="27"/>
        </w:rPr>
        <w:t xml:space="preserve"> under Federal Contracts (Not Grants)</w:t>
      </w:r>
    </w:p>
    <w:p w:rsidR="003B7270" w:rsidRPr="003B7270" w:rsidRDefault="003B7270" w:rsidP="003B7270">
      <w:pPr>
        <w:spacing w:before="100" w:beforeAutospacing="1" w:after="100" w:afterAutospacing="1" w:line="240" w:lineRule="auto"/>
        <w:rPr>
          <w:rFonts w:ascii="Times New Roman" w:eastAsia="Times New Roman" w:hAnsi="Times New Roman" w:cs="Times New Roman"/>
          <w:sz w:val="24"/>
          <w:szCs w:val="24"/>
        </w:rPr>
      </w:pPr>
      <w:r w:rsidRPr="003B7270">
        <w:rPr>
          <w:rFonts w:ascii="Times New Roman" w:eastAsia="Times New Roman" w:hAnsi="Times New Roman" w:cs="Times New Roman"/>
          <w:sz w:val="24"/>
          <w:szCs w:val="24"/>
        </w:rPr>
        <w:t xml:space="preserve">In order to establish a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relationship under federal contracts, the Federal Acquisition Regulation (FAR 35.009) states that “it is important that the contractor not subcontract technical or scientific work without the contracting officer’s advance knowledge.” The FAR goes on to state that “during the negotiation of a cost-reimbursement R &amp; D contract, the contracting officer shall obtain complete information concerning the contractor’s plans for subcontracting any portion of the experimental, research, or development effort.” If a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relationship is not approved as part of a proposal submitted to the agency, written sponsor approval would be required before any unbudgeted </w:t>
      </w:r>
      <w:proofErr w:type="spellStart"/>
      <w:r w:rsidRPr="003B7270">
        <w:rPr>
          <w:rFonts w:ascii="Times New Roman" w:eastAsia="Times New Roman" w:hAnsi="Times New Roman" w:cs="Times New Roman"/>
          <w:sz w:val="24"/>
          <w:szCs w:val="24"/>
        </w:rPr>
        <w:t>subrecipient</w:t>
      </w:r>
      <w:proofErr w:type="spellEnd"/>
      <w:r w:rsidRPr="003B7270">
        <w:rPr>
          <w:rFonts w:ascii="Times New Roman" w:eastAsia="Times New Roman" w:hAnsi="Times New Roman" w:cs="Times New Roman"/>
          <w:sz w:val="24"/>
          <w:szCs w:val="24"/>
        </w:rPr>
        <w:t xml:space="preserve"> subcontract could be established.</w:t>
      </w:r>
    </w:p>
    <w:p w:rsidR="00EE381D" w:rsidRDefault="00EE381D">
      <w:bookmarkStart w:id="1" w:name="_GoBack"/>
      <w:bookmarkEnd w:id="1"/>
    </w:p>
    <w:sectPr w:rsidR="00EE3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70"/>
    <w:rsid w:val="003B7270"/>
    <w:rsid w:val="00EE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72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B72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27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B727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72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72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B72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27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B727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72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3043">
      <w:bodyDiv w:val="1"/>
      <w:marLeft w:val="0"/>
      <w:marRight w:val="0"/>
      <w:marTop w:val="0"/>
      <w:marBottom w:val="0"/>
      <w:divBdr>
        <w:top w:val="none" w:sz="0" w:space="0" w:color="auto"/>
        <w:left w:val="none" w:sz="0" w:space="0" w:color="auto"/>
        <w:bottom w:val="none" w:sz="0" w:space="0" w:color="auto"/>
        <w:right w:val="none" w:sz="0" w:space="0" w:color="auto"/>
      </w:divBdr>
      <w:divsChild>
        <w:div w:id="452138056">
          <w:marLeft w:val="0"/>
          <w:marRight w:val="0"/>
          <w:marTop w:val="0"/>
          <w:marBottom w:val="0"/>
          <w:divBdr>
            <w:top w:val="none" w:sz="0" w:space="0" w:color="auto"/>
            <w:left w:val="none" w:sz="0" w:space="0" w:color="auto"/>
            <w:bottom w:val="none" w:sz="0" w:space="0" w:color="auto"/>
            <w:right w:val="none" w:sz="0" w:space="0" w:color="auto"/>
          </w:divBdr>
          <w:divsChild>
            <w:div w:id="6716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Myers-Smith</dc:creator>
  <cp:lastModifiedBy>Kim Myers-Smith</cp:lastModifiedBy>
  <cp:revision>1</cp:revision>
  <dcterms:created xsi:type="dcterms:W3CDTF">2013-04-22T15:19:00Z</dcterms:created>
  <dcterms:modified xsi:type="dcterms:W3CDTF">2013-04-22T15:19:00Z</dcterms:modified>
</cp:coreProperties>
</file>